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宜春市工业和信息化局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依据《中华人民共和国政府信息公开条例》（以下简称《政府信息公开条例》）第五十条之规定，编制本报告。本报告中所列数据统计期限为2023年1月1日至12月31日。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/>
        <w:jc w:val="both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如对本报告有任何疑问，请与宜春市工业和信息化局秘书科联系（地址：宜春市市政大楼215室，电话：0795-3272608，邮编：336000，电子邮箱：ycsgxjmsk@163.com）。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我们坚持以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bidi="ar-SA"/>
        </w:rPr>
        <w:t>习近平新时代中国特色社会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主义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bidi="ar-SA"/>
        </w:rPr>
        <w:t>思想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为指导，深入贯彻习近平总书记考察江西重要讲话精神，全面落实市委、市政府工作部署，严格落实《政府信息公开条例》要求，切实履行法定公开职责，着力加强自身建设，提升法治政府建设水平。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（一）主动公开情况。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通过宜春市工业和信息化局门户网站主动发布政务信息231条，通过宜春市工业和信息化局政府信息公开发布信息101条，通过“宜春工信”微信公众号发布信息187条。共举办了4场新闻发布会, 其中主要负责同志参加新闻发布会1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（二）依申请公开。</w:t>
      </w:r>
      <w:r>
        <w:rPr>
          <w:rFonts w:hint="eastAsia" w:ascii="仿宋_GB2312" w:hAnsi="Tahom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共收到政府信息公开申请2件，申请“智慧城市相关数据”件，经审查，我局非此项工作牵头单位，已将我局掌握的部分可公开数据通过邮箱告知申请人，申请“路面建筑，农村发展项目”件，经与申请人沟通，申请人登录错网址，非申请公开政府信息，已告知申请人正确的业务办理流程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（三）政府信息管理。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在信息公开专栏集中公开法定公开信息并动态更新。严格遵照《政府信息公开条例》有关规定，建立健全政府信息发布保密审查机制，要求在局网站和微信公众号上发布信息，必须严格落实“三审三校”流程。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default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（四）政府信息平台建设情况。</w:t>
      </w:r>
      <w:r>
        <w:rPr>
          <w:rFonts w:hint="eastAsia" w:ascii="仿宋_GB2312" w:hAnsi="Tahoma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优化局网站和政府信息公开页面栏目设置，新增加“学习贯彻习近平新时代中国特色社会主义思想主题教育”专栏，将“项目建设”专栏优化整合到“工业经济”专栏。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全面完成政府网站IPv6升级改造。2023年4月和8月，我局共开展2次“政府系统开放月”活动。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（五）监督保障。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经局务会研究，制定了《2023年宜春市工信局政务公开工作要点》，明确了各项工作的牵头科室、责任科室和完成时限。依据《宜春市工信局政务公开考核实施办法》，对全局干部进行政务公开工作考核，有效的推动了我局政务公开的深入开展，加强和改进了工作作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二、主动公开政府信息情况</w:t>
      </w:r>
    </w:p>
    <w:tbl>
      <w:tblPr>
        <w:tblStyle w:val="2"/>
        <w:tblpPr w:leftFromText="180" w:rightFromText="180" w:vertAnchor="text" w:horzAnchor="page" w:tblpXSpec="center" w:tblpY="537"/>
        <w:tblOverlap w:val="never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967"/>
        <w:gridCol w:w="2347"/>
        <w:gridCol w:w="2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9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9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规章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FF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7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07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07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2"/>
        <w:tblW w:w="544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130"/>
        <w:gridCol w:w="1661"/>
        <w:gridCol w:w="817"/>
        <w:gridCol w:w="740"/>
        <w:gridCol w:w="765"/>
        <w:gridCol w:w="894"/>
        <w:gridCol w:w="906"/>
        <w:gridCol w:w="80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3" w:hRule="atLeast"/>
        </w:trPr>
        <w:tc>
          <w:tcPr>
            <w:tcW w:w="1915" w:type="pct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084" w:type="pct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1915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自然人</w:t>
            </w:r>
          </w:p>
        </w:tc>
        <w:tc>
          <w:tcPr>
            <w:tcW w:w="2217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0" w:hRule="atLeast"/>
        </w:trPr>
        <w:tc>
          <w:tcPr>
            <w:tcW w:w="1915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4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其他</w:t>
            </w:r>
          </w:p>
        </w:tc>
        <w:tc>
          <w:tcPr>
            <w:tcW w:w="42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1915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1915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1" w:hRule="atLeast"/>
        </w:trPr>
        <w:tc>
          <w:tcPr>
            <w:tcW w:w="411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75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0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0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3.其他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0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2" w:hRule="atLeast"/>
        </w:trPr>
        <w:tc>
          <w:tcPr>
            <w:tcW w:w="1915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r>
        <w:rPr>
          <w:rFonts w:hint="default" w:ascii="黑体" w:hAnsi="黑体" w:eastAsia="黑体" w:cs="宋体"/>
          <w:bCs/>
          <w:color w:val="000000"/>
          <w:sz w:val="32"/>
          <w:szCs w:val="32"/>
        </w:rPr>
        <w:t>四、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政府信息公开行政复议、行政诉讼情况</w:t>
      </w:r>
    </w:p>
    <w:tbl>
      <w:tblPr>
        <w:tblStyle w:val="2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38"/>
        <w:gridCol w:w="619"/>
        <w:gridCol w:w="638"/>
        <w:gridCol w:w="582"/>
        <w:gridCol w:w="600"/>
        <w:gridCol w:w="563"/>
        <w:gridCol w:w="638"/>
        <w:gridCol w:w="619"/>
        <w:gridCol w:w="600"/>
        <w:gridCol w:w="638"/>
        <w:gridCol w:w="619"/>
        <w:gridCol w:w="582"/>
        <w:gridCol w:w="619"/>
        <w:gridCol w:w="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0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尚未结案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尚未结案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针对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行政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规范性文件发布不规范，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下一步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行政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规范性文件的监督管理，实行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行政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规范性文件目录和文本的动态化、信息化管理，建立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行政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规范性文件清理的长效机制，做到及时清理，有效公开。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2023年度，本机关无收取信息处理费情况，宜春市工业和信息化局网站网址为：</w:t>
      </w:r>
      <w:r>
        <w:rPr>
          <w:rFonts w:hint="default" w:ascii="Tahoma" w:hAnsi="Tahoma" w:eastAsia="Tahoma" w:cs="Tahoma"/>
          <w:i w:val="0"/>
          <w:iCs w:val="0"/>
          <w:caps w:val="0"/>
          <w:color w:val="0000EE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00EE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instrText xml:space="preserve"> HYPERLINK "http://drc.yichun.gov.cn/" </w:instrText>
      </w:r>
      <w:r>
        <w:rPr>
          <w:rFonts w:hint="default" w:ascii="Tahoma" w:hAnsi="Tahoma" w:eastAsia="Tahoma" w:cs="Tahoma"/>
          <w:i w:val="0"/>
          <w:iCs w:val="0"/>
          <w:caps w:val="0"/>
          <w:color w:val="0000EE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4"/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http</w:t>
      </w:r>
      <w:bookmarkStart w:id="0" w:name="_GoBack"/>
      <w:bookmarkEnd w:id="0"/>
      <w:r>
        <w:rPr>
          <w:rStyle w:val="4"/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://gxj.yichun.gov.cn/</w:t>
      </w:r>
      <w:r>
        <w:rPr>
          <w:rFonts w:hint="default" w:ascii="Tahoma" w:hAnsi="Tahoma" w:eastAsia="Tahoma" w:cs="Tahoma"/>
          <w:i w:val="0"/>
          <w:iCs w:val="0"/>
          <w:caps w:val="0"/>
          <w:color w:val="0000EE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，宜春市工业和信息化局政府信息公开网址为：http://gxj.yichun.gov.cn/xxgk-show-61584.html，如需了解更多政府信息，请登录查询。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å¾®è½¯é›…é»‘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50621"/>
    <w:rsid w:val="3DF79D1D"/>
    <w:rsid w:val="5FF95EE9"/>
    <w:rsid w:val="6AFEFAE3"/>
    <w:rsid w:val="6F7D5965"/>
    <w:rsid w:val="7FFE92F9"/>
    <w:rsid w:val="C7EFD275"/>
    <w:rsid w:val="CEFFD9E7"/>
    <w:rsid w:val="CF2D4137"/>
    <w:rsid w:val="EFFA5986"/>
    <w:rsid w:val="F7BAF479"/>
    <w:rsid w:val="F7CB1B16"/>
    <w:rsid w:val="F7FD279C"/>
    <w:rsid w:val="F8F9E76D"/>
    <w:rsid w:val="FBFDED86"/>
    <w:rsid w:val="FDC75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2023-01-14T17:24:00Z</dcterms:created>
  <dc:creator>admin123</dc:creator>
  <cp:lastModifiedBy>admin123</cp:lastModifiedBy>
  <dcterms:modified xsi:type="dcterms:W3CDTF">2024-03-25T09:38:07Z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97B2FE1FB38080A8DDCDBF6342754189</vt:lpwstr>
  </property>
</Properties>
</file>